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-261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 и уголовного преследования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 </w:t>
      </w:r>
      <w:r>
        <w:rPr>
          <w:rFonts w:ascii="Times New Roman" w:eastAsia="Times New Roman" w:hAnsi="Times New Roman" w:cs="Times New Roman"/>
          <w:sz w:val="28"/>
          <w:szCs w:val="28"/>
        </w:rPr>
        <w:t>участием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Худзик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Кононенко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Кодрян К.С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дела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Кононенко Сергея Вячеславовича, 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мерой пресечения в виде подписки о невыезде,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ч.1 ст.158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Кононенко Серге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20.06.2024 в дневное время, проходя около участка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ХМАО-Югры г. Сургута, кадастровый номер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обнаружил на его территории пиломатериал, принадлежащий </w:t>
      </w:r>
      <w:r>
        <w:rPr>
          <w:rStyle w:val="cat-UserDefinedgrp-34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 после чего у последнего возник преступный умысел, направленный на тайное хищение вышеуказанного пиломатериала.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реализуя свой единый преступный умысел, направленный на тайное хищение пиломатериала, принадлежащего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 в ночное время в период с 24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по 01 сентября 2024 года, более точное время органом предварительного следствия не установлено, Кононенко С.В., находясь около участка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ХМАО-Югры г. Сургута, кадастровый номер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корыстными побуждениями, осознавая общественную 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противоправный характер своих действий, предвидя наступление общественно опасных последствий в виде причинения имущественного вреда и желая их наступления, убедившись, что за его преступными действиями никто не наблюдает, путем свободного доступа, тайно перенес с участка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 ХМАО-Югры г. Сургута, пиломатериал камерной сушки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общем количестве 2 куба, стоимостью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руб. за 1 м.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, а всего стоимостью 60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руб., а также пиломатериал естественной влажности в общем количестве 6 кубов стоимостью 17500 руб. за 1 м.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, а всего стоимостью 105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руб., тем самым Кононенко С.В. тайно похитил 8 кубов пиломатериала на общую стоимостью 165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руб., принадлежащий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последствии, Кононенко С.В. с места совершения преступления скрылся. В результате умышленных, целенаправленных преступных действий Кононенко С.В. </w:t>
      </w:r>
      <w:r>
        <w:rPr>
          <w:rStyle w:val="cat-UserDefinedgrp-34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 причинен материальный ущерб на общую сумму 165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дознания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UserDefinedgrp-34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являющегося руководителем </w:t>
      </w:r>
      <w:r>
        <w:rPr>
          <w:rStyle w:val="cat-UserDefinedgrp-34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примирением сторон,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причинённый преступлением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претензий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Кононенко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ривлекать не желает.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Кононенко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</w:t>
      </w:r>
      <w:r>
        <w:rPr>
          <w:rFonts w:ascii="Times New Roman" w:eastAsia="Times New Roman" w:hAnsi="Times New Roman" w:cs="Times New Roman"/>
          <w:sz w:val="28"/>
          <w:szCs w:val="28"/>
        </w:rPr>
        <w:t>держал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при этом пояснил, что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противоправность своих действий осознал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последствия прекращения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понятны, против прекращения дела в связи с примирением сторон он не возражает,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 </w:t>
      </w:r>
      <w:r>
        <w:rPr>
          <w:rFonts w:ascii="Times New Roman" w:eastAsia="Times New Roman" w:hAnsi="Times New Roman" w:cs="Times New Roman"/>
          <w:sz w:val="28"/>
          <w:szCs w:val="28"/>
        </w:rPr>
        <w:t>возместил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принес извинения,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следствие чего они 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пояснил, что вину в инкриминируемом деянии признает полностью, в содеянном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Кононенко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сторон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ленного ходатайства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представителем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связи с примирением сторон,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все законные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 для этого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уголовного дела, заслушав стороны, суд приходит к следующему выводу.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п.2.1, 10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27.06.2013 № 19 «О применении судами законодательства, регламентирующего основания и порядок освобождения от уголовной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од заглаживанием вреда (часть 1 статьи 75, статья 76.2 УК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Способы заглаживания вреда,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размер его возмещения определяются потерпевшим.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15 УК РФ инкриминируемое </w:t>
      </w:r>
      <w:r>
        <w:rPr>
          <w:rFonts w:ascii="Times New Roman" w:eastAsia="Times New Roman" w:hAnsi="Times New Roman" w:cs="Times New Roman"/>
          <w:sz w:val="28"/>
          <w:szCs w:val="28"/>
        </w:rPr>
        <w:t>Кононенко С.В</w:t>
      </w:r>
      <w:r>
        <w:rPr>
          <w:rFonts w:ascii="Times New Roman" w:eastAsia="Times New Roman" w:hAnsi="Times New Roman" w:cs="Times New Roman"/>
          <w:sz w:val="28"/>
          <w:szCs w:val="28"/>
        </w:rPr>
        <w:t>. преступление относится к категории преступлений небольшой тяжести.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подсудимого, предусмотренным п. «к» ч. 1 ст. 61 УК РФ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возмещение имущественного ущерба, причиненного в результате преступления,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действия, направленные на заглаживание вреда, причиненного потерпевшему путем принесения извинений потерпевшему, в соответствии с частью 2 статьи 61 УК РФ - 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наказание, в соответствии со ст. 63 УК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разрешении вопроса об освобождени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Кононенко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вышеназванных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судим, совершил преступление небольшой тяжести впервые, имеет постоянное место жите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льства,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причинённый преступлением ущерб </w:t>
      </w:r>
      <w:r>
        <w:rPr>
          <w:rFonts w:ascii="Times New Roman" w:eastAsia="Times New Roman" w:hAnsi="Times New Roman" w:cs="Times New Roman"/>
          <w:sz w:val="28"/>
          <w:szCs w:val="28"/>
        </w:rPr>
        <w:t>возместил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извинился перед потерпевшим,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характеризуется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диспансерным наблюдением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врача-психиатра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врача-нарколога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состоял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поступило заявление о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прекращении уголовного дела в связи с примирением сторон, которое заявлено добровольно и осознано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каких-либо условий или принуждения с чьей-либо стороны.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 - либо препятствий к прекращению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Кононенко С.В</w:t>
      </w:r>
      <w:r>
        <w:rPr>
          <w:rFonts w:ascii="Times New Roman" w:eastAsia="Times New Roman" w:hAnsi="Times New Roman" w:cs="Times New Roman"/>
          <w:sz w:val="28"/>
          <w:szCs w:val="28"/>
        </w:rPr>
        <w:t>. у суда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Защита интересов личности и государства при этом не будет нарушена, поскольку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Кононенко С.В</w:t>
      </w:r>
      <w:r>
        <w:rPr>
          <w:rFonts w:ascii="Times New Roman" w:eastAsia="Times New Roman" w:hAnsi="Times New Roman" w:cs="Times New Roman"/>
          <w:sz w:val="28"/>
          <w:szCs w:val="28"/>
        </w:rPr>
        <w:t>. прекращается по не реабилитирующим основаниям, в связи с чем у подсудимой возникают определённые негативные юридические последствия, что соответствует требованиям справедливости и целям правосудия.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находит возможным удовлетв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орить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прекратить уголовное дело в связи с примирением сторон.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хранящиеся в 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оставить при уголовном 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возвращённые </w:t>
      </w:r>
      <w:r>
        <w:rPr>
          <w:rFonts w:ascii="Times New Roman" w:eastAsia="Times New Roman" w:hAnsi="Times New Roman" w:cs="Times New Roman"/>
          <w:sz w:val="28"/>
          <w:szCs w:val="28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владельц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роцессуальны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издержк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разрешаются отдельным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ст.76 УК РФ, ст.25, ст.254 УПК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и освободить от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Кононенко Сергея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обв</w:t>
      </w:r>
      <w:r>
        <w:rPr>
          <w:rFonts w:ascii="Times New Roman" w:eastAsia="Times New Roman" w:hAnsi="Times New Roman" w:cs="Times New Roman"/>
          <w:sz w:val="28"/>
          <w:szCs w:val="28"/>
        </w:rPr>
        <w:t>инению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в связи с примирением сторон.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Кононенко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оставить прежней </w:t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постановления в законную силу, после чего отменить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диск с фрагментами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смету выполненных работ, оборудования материалов от 12.03.2024, акт инвентаризации № 1 от </w:t>
      </w:r>
      <w:r>
        <w:rPr>
          <w:rFonts w:ascii="Times New Roman" w:eastAsia="Times New Roman" w:hAnsi="Times New Roman" w:cs="Times New Roman"/>
          <w:sz w:val="28"/>
          <w:szCs w:val="28"/>
        </w:rPr>
        <w:t>01.09.2024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пиломатериал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Сургутский городской суд ХМАО-Югры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 со дня его провозглашения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Г.П.Думлер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-261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7053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4rplc-45">
    <w:name w:val="cat-UserDefined grp-34 rplc-45"/>
    <w:basedOn w:val="DefaultParagraphFont"/>
  </w:style>
  <w:style w:type="character" w:customStyle="1" w:styleId="cat-UserDefinedgrp-34rplc-48">
    <w:name w:val="cat-UserDefined grp-34 rplc-48"/>
    <w:basedOn w:val="DefaultParagraphFont"/>
  </w:style>
  <w:style w:type="character" w:customStyle="1" w:styleId="cat-UserDefinedgrp-30rplc-50">
    <w:name w:val="cat-UserDefined grp-30 rplc-50"/>
    <w:basedOn w:val="DefaultParagraphFont"/>
  </w:style>
  <w:style w:type="character" w:customStyle="1" w:styleId="cat-UserDefinedgrp-34rplc-52">
    <w:name w:val="cat-UserDefined grp-34 rplc-5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FE4D6-F4C0-4286-B3EB-67A293EF5B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